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BEC" w:rsidRDefault="003B0445" w:rsidP="003B0445">
      <w:pPr>
        <w:ind w:firstLine="709"/>
        <w:jc w:val="both"/>
        <w:rPr>
          <w:sz w:val="28"/>
        </w:rPr>
      </w:pPr>
      <w:r>
        <w:rPr>
          <w:sz w:val="28"/>
        </w:rPr>
        <w:t xml:space="preserve">Взаимодействие системы ЕОС ПБ с системой </w:t>
      </w:r>
      <w:proofErr w:type="spellStart"/>
      <w:r>
        <w:rPr>
          <w:sz w:val="28"/>
        </w:rPr>
        <w:t>РискПроф</w:t>
      </w:r>
      <w:proofErr w:type="spellEnd"/>
      <w:r>
        <w:rPr>
          <w:sz w:val="28"/>
        </w:rPr>
        <w:t xml:space="preserve"> осуществляется через такие документы, как «Анкета идентификации опасностей» и «Карта оценки рисков» (рис.1).</w:t>
      </w:r>
    </w:p>
    <w:p w:rsidR="00A649FF" w:rsidRDefault="003B0445" w:rsidP="00A649FF">
      <w:pPr>
        <w:keepNext/>
        <w:jc w:val="both"/>
      </w:pPr>
      <w:r>
        <w:rPr>
          <w:noProof/>
          <w:sz w:val="28"/>
          <w:lang w:val="en-US"/>
        </w:rPr>
        <w:drawing>
          <wp:inline distT="0" distB="0" distL="0" distR="0">
            <wp:extent cx="5940425" cy="2612390"/>
            <wp:effectExtent l="19050" t="19050" r="2222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чальная страниц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445" w:rsidRPr="00A649FF" w:rsidRDefault="00A649FF" w:rsidP="00A649FF">
      <w:pPr>
        <w:pStyle w:val="af1"/>
        <w:jc w:val="center"/>
        <w:rPr>
          <w:sz w:val="28"/>
        </w:rPr>
      </w:pPr>
      <w:r>
        <w:t xml:space="preserve">Рисунок </w:t>
      </w:r>
      <w:fldSimple w:instr=" SEQ Рисунок \* ARABIC ">
        <w:r w:rsidR="00567CED">
          <w:rPr>
            <w:noProof/>
          </w:rPr>
          <w:t>1</w:t>
        </w:r>
      </w:fldSimple>
    </w:p>
    <w:p w:rsidR="00A649FF" w:rsidRDefault="00A649FF" w:rsidP="003B0445">
      <w:pPr>
        <w:ind w:firstLine="709"/>
        <w:jc w:val="both"/>
        <w:rPr>
          <w:sz w:val="28"/>
        </w:rPr>
      </w:pPr>
      <w:r>
        <w:rPr>
          <w:sz w:val="28"/>
        </w:rPr>
        <w:t xml:space="preserve">При создании «Анкеты идентификации опасностей» для заполнения ТЧ «Опасности» необходимо воспользоваться Редактором рисков (рис.2). </w:t>
      </w:r>
    </w:p>
    <w:p w:rsidR="00A649FF" w:rsidRDefault="00A649FF" w:rsidP="00A649FF">
      <w:pPr>
        <w:keepNext/>
        <w:jc w:val="both"/>
      </w:pPr>
      <w:r>
        <w:rPr>
          <w:noProof/>
          <w:sz w:val="28"/>
        </w:rPr>
        <w:drawing>
          <wp:inline distT="0" distB="0" distL="0" distR="0">
            <wp:extent cx="5940425" cy="2089785"/>
            <wp:effectExtent l="19050" t="19050" r="2222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крыть редактор из Анкет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49FF" w:rsidRDefault="00A649FF" w:rsidP="00A649FF">
      <w:pPr>
        <w:pStyle w:val="af1"/>
        <w:jc w:val="center"/>
        <w:rPr>
          <w:sz w:val="28"/>
        </w:rPr>
      </w:pPr>
      <w:r>
        <w:t xml:space="preserve">Рисунок </w:t>
      </w:r>
      <w:fldSimple w:instr=" SEQ Рисунок \* ARABIC ">
        <w:r w:rsidR="00567CED">
          <w:rPr>
            <w:noProof/>
          </w:rPr>
          <w:t>2</w:t>
        </w:r>
      </w:fldSimple>
    </w:p>
    <w:p w:rsidR="003B0445" w:rsidRDefault="00A649FF" w:rsidP="003B0445">
      <w:pPr>
        <w:ind w:firstLine="709"/>
        <w:jc w:val="both"/>
        <w:rPr>
          <w:sz w:val="28"/>
        </w:rPr>
      </w:pPr>
      <w:r>
        <w:rPr>
          <w:sz w:val="28"/>
        </w:rPr>
        <w:t xml:space="preserve">По команде «Открыть Редактор рисков» открывается Редактор рисков </w:t>
      </w:r>
      <w:proofErr w:type="spellStart"/>
      <w:r>
        <w:rPr>
          <w:sz w:val="28"/>
        </w:rPr>
        <w:t>РискПроф</w:t>
      </w:r>
      <w:proofErr w:type="spellEnd"/>
      <w:r>
        <w:rPr>
          <w:sz w:val="28"/>
        </w:rPr>
        <w:t xml:space="preserve"> – редактор РМ, в котором наглядно показано, как из источников опасности строятся объекты оценки риска, составляющие трудовую деятельность работников на данном РМ (рис.3).</w:t>
      </w:r>
    </w:p>
    <w:p w:rsidR="00A649FF" w:rsidRDefault="00A649FF" w:rsidP="00A649FF">
      <w:pPr>
        <w:keepNext/>
        <w:jc w:val="both"/>
      </w:pPr>
      <w:r>
        <w:rPr>
          <w:noProof/>
          <w:sz w:val="28"/>
        </w:rPr>
        <w:lastRenderedPageBreak/>
        <w:drawing>
          <wp:inline distT="0" distB="0" distL="0" distR="0">
            <wp:extent cx="5940425" cy="3425825"/>
            <wp:effectExtent l="19050" t="19050" r="2222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дактор риско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49FF" w:rsidRDefault="00A649FF" w:rsidP="00A649FF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3</w:t>
        </w:r>
      </w:fldSimple>
    </w:p>
    <w:p w:rsidR="00A649FF" w:rsidRDefault="00A649FF" w:rsidP="00A649FF">
      <w:pPr>
        <w:ind w:firstLine="709"/>
        <w:jc w:val="both"/>
      </w:pPr>
      <w:r>
        <w:t xml:space="preserve">Для заполнения данных в редакторе рисков можно воспользоваться базой знаний </w:t>
      </w:r>
      <w:proofErr w:type="spellStart"/>
      <w:r>
        <w:t>РискПроф</w:t>
      </w:r>
      <w:proofErr w:type="spellEnd"/>
      <w:r w:rsidR="005D51B1">
        <w:t xml:space="preserve">, которая позволит </w:t>
      </w:r>
      <w:r w:rsidR="005D51B1" w:rsidRPr="005D51B1">
        <w:t>заполнить все риски на рабочем месте автоматизированным способом на основе факторов условий труда по результатам специальной оценки условий труда или на основе внутренней базы знаний по профессиям</w:t>
      </w:r>
      <w:r w:rsidR="005D51B1">
        <w:t xml:space="preserve"> (рис.4)</w:t>
      </w:r>
      <w:r w:rsidR="005D51B1" w:rsidRPr="005D51B1">
        <w:t>.</w:t>
      </w:r>
    </w:p>
    <w:p w:rsidR="005D51B1" w:rsidRDefault="005D51B1" w:rsidP="005D51B1">
      <w:pPr>
        <w:keepNext/>
        <w:jc w:val="both"/>
      </w:pPr>
      <w:r>
        <w:rPr>
          <w:noProof/>
        </w:rPr>
        <w:drawing>
          <wp:inline distT="0" distB="0" distL="0" distR="0">
            <wp:extent cx="5940425" cy="3432175"/>
            <wp:effectExtent l="19050" t="19050" r="22225" b="15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дактор рисков_подобрать карту ОП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1B1" w:rsidRDefault="005D51B1" w:rsidP="005D51B1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4</w:t>
        </w:r>
      </w:fldSimple>
    </w:p>
    <w:p w:rsidR="005D51B1" w:rsidRDefault="005D51B1" w:rsidP="00A649FF">
      <w:pPr>
        <w:ind w:firstLine="709"/>
        <w:jc w:val="both"/>
      </w:pPr>
      <w:r>
        <w:t>При выполнении команды «Подобрать Карту ОПР» Система предлагает подобрать риски исходя из указанного рабочего места (рис.5).</w:t>
      </w:r>
    </w:p>
    <w:p w:rsidR="005D51B1" w:rsidRDefault="005D51B1" w:rsidP="005D51B1">
      <w:pPr>
        <w:keepNext/>
        <w:jc w:val="center"/>
      </w:pPr>
      <w:r>
        <w:rPr>
          <w:noProof/>
        </w:rPr>
        <w:drawing>
          <wp:inline distT="0" distB="0" distL="0" distR="0">
            <wp:extent cx="3511550" cy="4101645"/>
            <wp:effectExtent l="19050" t="19050" r="12700" b="13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полнение карты ОПР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368" cy="411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1B1" w:rsidRDefault="005D51B1" w:rsidP="005D51B1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5</w:t>
        </w:r>
      </w:fldSimple>
    </w:p>
    <w:p w:rsidR="005D51B1" w:rsidRDefault="005D51B1" w:rsidP="00A649FF">
      <w:pPr>
        <w:ind w:firstLine="709"/>
        <w:jc w:val="both"/>
      </w:pPr>
      <w:r>
        <w:t>После выбора необходимых данных и копирования карты в редакторе рисков автоматически заполняются Источники опасности,  Объекты оценки рисков, Опасности и меры управления (рис.6). При необходимости заполненные данные могут быть скорректированы вручную.</w:t>
      </w:r>
    </w:p>
    <w:p w:rsidR="005D51B1" w:rsidRDefault="005D51B1" w:rsidP="005D51B1">
      <w:pPr>
        <w:keepNext/>
        <w:jc w:val="both"/>
      </w:pPr>
      <w:r>
        <w:rPr>
          <w:noProof/>
        </w:rPr>
        <w:drawing>
          <wp:inline distT="0" distB="0" distL="0" distR="0">
            <wp:extent cx="5940425" cy="3538220"/>
            <wp:effectExtent l="19050" t="19050" r="22225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дактор рисков_заполненн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1B1" w:rsidRDefault="005D51B1" w:rsidP="005D51B1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6</w:t>
        </w:r>
      </w:fldSimple>
    </w:p>
    <w:p w:rsidR="005D51B1" w:rsidRDefault="005D51B1" w:rsidP="00A649FF">
      <w:pPr>
        <w:ind w:firstLine="709"/>
        <w:jc w:val="both"/>
      </w:pPr>
      <w:r>
        <w:t xml:space="preserve">При выполнении команды «Заполнить на основе факторов СОУТ» </w:t>
      </w:r>
      <w:r w:rsidR="000D24D6">
        <w:t>система автоматически подбирает Источники опасности, Объекты оценки рисков и Опасности исходя из данных, переданных по результатам Специальной оценки условий труда. Дополнительно о</w:t>
      </w:r>
      <w:r w:rsidR="000D24D6" w:rsidRPr="000D24D6">
        <w:t>знаком</w:t>
      </w:r>
      <w:r w:rsidR="000D24D6">
        <w:t>иться</w:t>
      </w:r>
      <w:r w:rsidR="000D24D6" w:rsidRPr="000D24D6">
        <w:t xml:space="preserve"> со значениями итогового класса условий труда и уровн</w:t>
      </w:r>
      <w:r w:rsidR="000D24D6">
        <w:t>ями</w:t>
      </w:r>
      <w:r w:rsidR="000D24D6" w:rsidRPr="000D24D6">
        <w:t xml:space="preserve"> вредных и опасных производственных факторов по результатам специальной оценки условий труда на конкретном рабочем месте</w:t>
      </w:r>
      <w:r w:rsidR="000D24D6">
        <w:t xml:space="preserve"> позволяет специальный раздел «Условия труда» (рис.7)</w:t>
      </w:r>
      <w:r w:rsidR="000D24D6" w:rsidRPr="000D24D6">
        <w:t>.</w:t>
      </w:r>
    </w:p>
    <w:p w:rsidR="000D24D6" w:rsidRDefault="000D24D6" w:rsidP="000D24D6">
      <w:pPr>
        <w:keepNext/>
        <w:jc w:val="both"/>
      </w:pPr>
      <w:r>
        <w:rPr>
          <w:noProof/>
        </w:rPr>
        <w:drawing>
          <wp:inline distT="0" distB="0" distL="0" distR="0">
            <wp:extent cx="5940425" cy="3330575"/>
            <wp:effectExtent l="19050" t="19050" r="22225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дел Условия труд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D6" w:rsidRDefault="000D24D6" w:rsidP="000D24D6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7</w:t>
        </w:r>
      </w:fldSimple>
    </w:p>
    <w:p w:rsidR="005D51B1" w:rsidRDefault="000D24D6" w:rsidP="00A649FF">
      <w:pPr>
        <w:ind w:firstLine="709"/>
        <w:jc w:val="both"/>
      </w:pPr>
      <w:r>
        <w:t xml:space="preserve">По закрытии редактора рисков в документе «Анкета идентификация опасностей» в ТЧ «Опасности» автоматически заполняются такие поля, как «Опасность», «Источники риска», «Объект оценки рисков», «Меры управления риском» (рис.8). Также </w:t>
      </w:r>
      <w:r>
        <w:t>закрытии редактора рисков</w:t>
      </w:r>
      <w:r>
        <w:t xml:space="preserve"> автоматически заполняется ТЧ «Документы», в которой указываются нормативно-правовые документы, задействованные в процессе идентификации опасностей</w:t>
      </w:r>
      <w:r>
        <w:t>(рис.9)</w:t>
      </w:r>
      <w:r>
        <w:t>.</w:t>
      </w:r>
    </w:p>
    <w:p w:rsidR="000D24D6" w:rsidRDefault="000D24D6" w:rsidP="000D24D6">
      <w:pPr>
        <w:keepNext/>
        <w:jc w:val="center"/>
      </w:pPr>
      <w:r>
        <w:rPr>
          <w:noProof/>
        </w:rPr>
        <w:drawing>
          <wp:inline distT="0" distB="0" distL="0" distR="0">
            <wp:extent cx="5143500" cy="2724322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нкета заполнена опасностями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9" cy="2742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1B1" w:rsidRDefault="000D24D6" w:rsidP="000D24D6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8</w:t>
        </w:r>
      </w:fldSimple>
    </w:p>
    <w:p w:rsidR="000D24D6" w:rsidRDefault="000D24D6" w:rsidP="000D24D6">
      <w:pPr>
        <w:keepNext/>
        <w:jc w:val="both"/>
      </w:pPr>
      <w:r>
        <w:rPr>
          <w:noProof/>
        </w:rPr>
        <w:drawing>
          <wp:inline distT="0" distB="0" distL="0" distR="0">
            <wp:extent cx="5940425" cy="1823720"/>
            <wp:effectExtent l="19050" t="19050" r="22225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нкета заполнена документам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D6" w:rsidRDefault="000D24D6" w:rsidP="000D24D6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9</w:t>
        </w:r>
      </w:fldSimple>
    </w:p>
    <w:p w:rsidR="00567CED" w:rsidRDefault="00567CED" w:rsidP="000D24D6">
      <w:pPr>
        <w:ind w:firstLine="709"/>
        <w:jc w:val="both"/>
      </w:pPr>
      <w:r>
        <w:t>При необходимости документы также могут быть скорректированы в редакторе рисков путем подбора данных из соответствующего классификатора (рис.10).</w:t>
      </w:r>
    </w:p>
    <w:p w:rsidR="00567CED" w:rsidRDefault="00567CED" w:rsidP="00567CED">
      <w:pPr>
        <w:keepNext/>
        <w:jc w:val="both"/>
      </w:pPr>
      <w:r>
        <w:rPr>
          <w:noProof/>
        </w:rPr>
        <w:drawing>
          <wp:inline distT="0" distB="0" distL="0" distR="0">
            <wp:extent cx="5940425" cy="3549015"/>
            <wp:effectExtent l="19050" t="19050" r="22225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окументы в редакторе рисков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4721" w:rsidRDefault="00567CED" w:rsidP="00567CED">
      <w:pPr>
        <w:pStyle w:val="af1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</w:p>
    <w:p w:rsidR="000D24D6" w:rsidRDefault="009C61B5" w:rsidP="000D24D6">
      <w:pPr>
        <w:ind w:firstLine="709"/>
        <w:jc w:val="both"/>
      </w:pPr>
      <w:r>
        <w:t>Далее на основании «Анкета идентификации опасностей» может быть сформирована «Карта оценки рисков» (рис.1</w:t>
      </w:r>
      <w:r w:rsidR="00567CED">
        <w:t>1</w:t>
      </w:r>
      <w:r>
        <w:t>).</w:t>
      </w:r>
    </w:p>
    <w:p w:rsidR="009C61B5" w:rsidRDefault="009C61B5" w:rsidP="009C61B5">
      <w:pPr>
        <w:keepNext/>
        <w:jc w:val="both"/>
      </w:pPr>
      <w:r>
        <w:rPr>
          <w:noProof/>
        </w:rPr>
        <w:drawing>
          <wp:inline distT="0" distB="0" distL="0" distR="0">
            <wp:extent cx="5940425" cy="3051175"/>
            <wp:effectExtent l="19050" t="19050" r="22225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здании карты из анкеты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1B5" w:rsidRDefault="009C61B5" w:rsidP="009C61B5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11</w:t>
        </w:r>
      </w:fldSimple>
    </w:p>
    <w:p w:rsidR="009C61B5" w:rsidRDefault="009C61B5" w:rsidP="000D24D6">
      <w:pPr>
        <w:ind w:firstLine="709"/>
        <w:jc w:val="both"/>
      </w:pPr>
      <w:r>
        <w:t xml:space="preserve">При создании «Карты оценки рисков» на основании «Анкеты идентификации опасностей» такие поля, как </w:t>
      </w:r>
      <w:r>
        <w:t xml:space="preserve">«Опасность», «Источники риска», «Объект оценки рисков», «Меры управления риском» </w:t>
      </w:r>
      <w:r>
        <w:t>заполняются автоматически (рис.1</w:t>
      </w:r>
      <w:r w:rsidR="00567CED">
        <w:t>2</w:t>
      </w:r>
      <w:r>
        <w:t>).</w:t>
      </w:r>
    </w:p>
    <w:p w:rsidR="009C61B5" w:rsidRDefault="009C61B5" w:rsidP="009C61B5">
      <w:pPr>
        <w:keepNext/>
        <w:jc w:val="both"/>
      </w:pPr>
      <w:r>
        <w:rPr>
          <w:noProof/>
        </w:rPr>
        <w:drawing>
          <wp:inline distT="0" distB="0" distL="0" distR="0">
            <wp:extent cx="5940425" cy="3596640"/>
            <wp:effectExtent l="19050" t="19050" r="22225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а до выхода в редактор риско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1B5" w:rsidRDefault="009C61B5" w:rsidP="009C61B5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12</w:t>
        </w:r>
      </w:fldSimple>
    </w:p>
    <w:p w:rsidR="009C61B5" w:rsidRDefault="009C61B5" w:rsidP="000D24D6">
      <w:pPr>
        <w:ind w:firstLine="709"/>
        <w:jc w:val="both"/>
      </w:pPr>
      <w:r>
        <w:t>Для оценки уровня риска каждой из указанных опасностей необходимо воспользоваться редакторов рисков по команде «Открыть Редактор рисков».</w:t>
      </w:r>
    </w:p>
    <w:p w:rsidR="009C61B5" w:rsidRDefault="009C61B5" w:rsidP="000D24D6">
      <w:pPr>
        <w:ind w:firstLine="709"/>
        <w:jc w:val="both"/>
      </w:pPr>
      <w:r>
        <w:t>При выходе в Редактор рисков система автоматически заполняет уровни риска и уровни приемлемости для каждой из опасностей (рис.1</w:t>
      </w:r>
      <w:r w:rsidR="00567CED">
        <w:t>3</w:t>
      </w:r>
      <w:r>
        <w:t xml:space="preserve">). При необходимости данные могут быть скорректированы вручную. </w:t>
      </w:r>
    </w:p>
    <w:p w:rsidR="009C61B5" w:rsidRDefault="009C61B5" w:rsidP="009C61B5">
      <w:pPr>
        <w:keepNext/>
        <w:jc w:val="both"/>
      </w:pPr>
      <w:r>
        <w:rPr>
          <w:noProof/>
        </w:rPr>
        <w:drawing>
          <wp:inline distT="0" distB="0" distL="0" distR="0">
            <wp:extent cx="5940425" cy="4055745"/>
            <wp:effectExtent l="19050" t="19050" r="22225" b="20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а после выхода в редактор рисков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61B5" w:rsidRDefault="009C61B5" w:rsidP="009C61B5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13</w:t>
        </w:r>
      </w:fldSimple>
    </w:p>
    <w:p w:rsidR="00C54721" w:rsidRDefault="00C54721" w:rsidP="00C54721">
      <w:pPr>
        <w:ind w:firstLine="709"/>
        <w:jc w:val="both"/>
      </w:pPr>
      <w:r>
        <w:t>По закрытии редактора рисков в документе «Карта оценки рисков» все данные в ТЧ «Опасности» заполняются автоматически (рис.1</w:t>
      </w:r>
      <w:r w:rsidR="00567CED">
        <w:t>4</w:t>
      </w:r>
      <w:r>
        <w:t xml:space="preserve">). При необходимости может быть сформирована печатная форма карты оценки рисков. </w:t>
      </w:r>
    </w:p>
    <w:p w:rsidR="00C54721" w:rsidRDefault="00C54721" w:rsidP="00C54721">
      <w:pPr>
        <w:keepNext/>
        <w:jc w:val="both"/>
      </w:pPr>
      <w:r>
        <w:rPr>
          <w:noProof/>
        </w:rPr>
        <w:drawing>
          <wp:inline distT="0" distB="0" distL="0" distR="0">
            <wp:extent cx="5940425" cy="3589655"/>
            <wp:effectExtent l="19050" t="19050" r="22225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а ОПР заполненная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4721" w:rsidRDefault="00C54721" w:rsidP="00C54721">
      <w:pPr>
        <w:pStyle w:val="af1"/>
        <w:jc w:val="center"/>
      </w:pPr>
      <w:r>
        <w:t xml:space="preserve">Рисунок </w:t>
      </w:r>
      <w:fldSimple w:instr=" SEQ Рисунок \* ARABIC ">
        <w:r w:rsidR="00567CED">
          <w:rPr>
            <w:noProof/>
          </w:rPr>
          <w:t>14</w:t>
        </w:r>
      </w:fldSimple>
    </w:p>
    <w:p w:rsidR="00C54721" w:rsidRDefault="00C54721" w:rsidP="00C54721">
      <w:pPr>
        <w:ind w:firstLine="709"/>
        <w:jc w:val="both"/>
      </w:pPr>
      <w:r>
        <w:t xml:space="preserve">После проведения «Карты оценки рисков» соответствующая информация заполняется </w:t>
      </w:r>
      <w:r>
        <w:t>в карточке рабочего места</w:t>
      </w:r>
      <w:r>
        <w:t xml:space="preserve"> (рис.1</w:t>
      </w:r>
      <w:r w:rsidR="00567CED">
        <w:t>5</w:t>
      </w:r>
      <w:bookmarkStart w:id="0" w:name="_GoBack"/>
      <w:bookmarkEnd w:id="0"/>
      <w:r>
        <w:t>).</w:t>
      </w:r>
    </w:p>
    <w:p w:rsidR="00C54721" w:rsidRDefault="00C54721" w:rsidP="00C54721">
      <w:pPr>
        <w:keepNext/>
        <w:jc w:val="both"/>
      </w:pPr>
      <w:r>
        <w:rPr>
          <w:noProof/>
        </w:rPr>
        <w:drawing>
          <wp:inline distT="0" distB="0" distL="0" distR="0">
            <wp:extent cx="5940425" cy="2996565"/>
            <wp:effectExtent l="19050" t="19050" r="2222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а ОПР в карточке РМ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4721" w:rsidRPr="000D24D6" w:rsidRDefault="00C54721" w:rsidP="00C54721">
      <w:pPr>
        <w:pStyle w:val="af1"/>
        <w:jc w:val="center"/>
        <w:rPr>
          <w:color w:val="auto"/>
        </w:rPr>
      </w:pPr>
      <w:r>
        <w:t xml:space="preserve">Рисунок </w:t>
      </w:r>
      <w:fldSimple w:instr=" SEQ Рисунок \* ARABIC ">
        <w:r w:rsidR="00567CED">
          <w:rPr>
            <w:noProof/>
          </w:rPr>
          <w:t>15</w:t>
        </w:r>
      </w:fldSimple>
    </w:p>
    <w:sectPr w:rsidR="00C54721" w:rsidRPr="000D2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76E65"/>
    <w:multiLevelType w:val="hybridMultilevel"/>
    <w:tmpl w:val="E6063A50"/>
    <w:lvl w:ilvl="0" w:tplc="8A68391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571F7"/>
    <w:multiLevelType w:val="hybridMultilevel"/>
    <w:tmpl w:val="A7784AE4"/>
    <w:lvl w:ilvl="0" w:tplc="9140A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B0C69"/>
    <w:multiLevelType w:val="hybridMultilevel"/>
    <w:tmpl w:val="738430A4"/>
    <w:lvl w:ilvl="0" w:tplc="666462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071F5"/>
    <w:multiLevelType w:val="multilevel"/>
    <w:tmpl w:val="1BEEF54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91240E9"/>
    <w:multiLevelType w:val="hybridMultilevel"/>
    <w:tmpl w:val="E1CA99D4"/>
    <w:lvl w:ilvl="0" w:tplc="0DF4B540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F2F2237"/>
    <w:multiLevelType w:val="multilevel"/>
    <w:tmpl w:val="C5E4675E"/>
    <w:lvl w:ilvl="0">
      <w:start w:val="1"/>
      <w:numFmt w:val="decimal"/>
      <w:pStyle w:val="10"/>
      <w:lvlText w:val="%1."/>
      <w:lvlJc w:val="center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center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2">
      <w:start w:val="1"/>
      <w:numFmt w:val="decimal"/>
      <w:pStyle w:val="3"/>
      <w:isLgl/>
      <w:lvlText w:val="%1.%2.%3"/>
      <w:lvlJc w:val="center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4"/>
  </w:num>
  <w:num w:numId="5">
    <w:abstractNumId w:val="0"/>
  </w:num>
  <w:num w:numId="6">
    <w:abstractNumId w:val="5"/>
    <w:lvlOverride w:ilvl="1">
      <w:lvl w:ilvl="1">
        <w:start w:val="1"/>
        <w:numFmt w:val="decimal"/>
        <w:pStyle w:val="2"/>
        <w:lvlText w:val="%1.%2"/>
        <w:lvlJc w:val="center"/>
        <w:pPr>
          <w:ind w:left="0" w:firstLine="0"/>
        </w:pPr>
        <w:rPr>
          <w:rFonts w:ascii="Times New Roman Полужирный" w:hAnsi="Times New Roman Полужирный" w:hint="default"/>
          <w:b/>
          <w:i w:val="0"/>
          <w:sz w:val="28"/>
        </w:rPr>
      </w:lvl>
    </w:lvlOverride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45"/>
    <w:rsid w:val="00064173"/>
    <w:rsid w:val="000A7BCB"/>
    <w:rsid w:val="000D24D6"/>
    <w:rsid w:val="003401D0"/>
    <w:rsid w:val="003B0445"/>
    <w:rsid w:val="00567CED"/>
    <w:rsid w:val="005D51B1"/>
    <w:rsid w:val="00671EBE"/>
    <w:rsid w:val="006C5028"/>
    <w:rsid w:val="006F5E0E"/>
    <w:rsid w:val="00784E50"/>
    <w:rsid w:val="009C61B5"/>
    <w:rsid w:val="00A649FF"/>
    <w:rsid w:val="00C54721"/>
    <w:rsid w:val="00E00BEC"/>
    <w:rsid w:val="00F4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E0B7"/>
  <w15:chartTrackingRefBased/>
  <w15:docId w15:val="{722FC97F-3886-42E2-B7BB-A5E2C671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F5E0E"/>
    <w:pPr>
      <w:spacing w:after="0" w:line="276" w:lineRule="auto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А_Таб подпись"/>
    <w:link w:val="a5"/>
    <w:qFormat/>
    <w:rsid w:val="00F45AFA"/>
    <w:pPr>
      <w:keepNext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РА_Таб подпись Знак"/>
    <w:basedOn w:val="a1"/>
    <w:link w:val="a4"/>
    <w:rsid w:val="00F45A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РА_Заголовок"/>
    <w:basedOn w:val="a0"/>
    <w:qFormat/>
    <w:rsid w:val="006F5E0E"/>
    <w:pPr>
      <w:spacing w:before="100" w:beforeAutospacing="1" w:after="100" w:afterAutospacing="1" w:line="360" w:lineRule="auto"/>
      <w:jc w:val="center"/>
    </w:pPr>
    <w:rPr>
      <w:b/>
      <w:sz w:val="28"/>
    </w:rPr>
  </w:style>
  <w:style w:type="paragraph" w:customStyle="1" w:styleId="2">
    <w:name w:val="РА_Заголовок_Уровень 2"/>
    <w:autoRedefine/>
    <w:qFormat/>
    <w:rsid w:val="00E00BEC"/>
    <w:pPr>
      <w:numPr>
        <w:ilvl w:val="1"/>
        <w:numId w:val="6"/>
      </w:numPr>
      <w:spacing w:before="100" w:beforeAutospacing="1" w:after="100" w:afterAutospacing="1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noProof/>
      <w:snapToGrid w:val="0"/>
      <w:sz w:val="28"/>
      <w:szCs w:val="24"/>
      <w:lang w:eastAsia="ru-RU"/>
    </w:rPr>
  </w:style>
  <w:style w:type="paragraph" w:customStyle="1" w:styleId="3">
    <w:name w:val="РА_Заголовок_Уровень 3"/>
    <w:qFormat/>
    <w:rsid w:val="00E00BEC"/>
    <w:pPr>
      <w:numPr>
        <w:ilvl w:val="2"/>
        <w:numId w:val="6"/>
      </w:numPr>
      <w:spacing w:before="100" w:beforeAutospacing="1" w:after="100" w:afterAutospacing="1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customStyle="1" w:styleId="1">
    <w:name w:val="РА_Маркированный список1"/>
    <w:basedOn w:val="a0"/>
    <w:qFormat/>
    <w:rsid w:val="006F5E0E"/>
    <w:pPr>
      <w:numPr>
        <w:numId w:val="4"/>
      </w:numPr>
      <w:jc w:val="both"/>
    </w:pPr>
    <w:rPr>
      <w:rFonts w:eastAsia="Times New Roman" w:cs="Times New Roman"/>
      <w:szCs w:val="28"/>
      <w:lang w:eastAsia="ru-RU"/>
    </w:rPr>
  </w:style>
  <w:style w:type="paragraph" w:customStyle="1" w:styleId="a7">
    <w:name w:val="РА_Основной текст"/>
    <w:qFormat/>
    <w:rsid w:val="006F5E0E"/>
    <w:pPr>
      <w:widowControl w:val="0"/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a8">
    <w:name w:val="РА_Таб название"/>
    <w:link w:val="a9"/>
    <w:qFormat/>
    <w:rsid w:val="006F5E0E"/>
    <w:pPr>
      <w:keepNext/>
      <w:spacing w:after="0" w:line="276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РА_Таб название Знак"/>
    <w:basedOn w:val="a1"/>
    <w:link w:val="a8"/>
    <w:rsid w:val="006F5E0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РА_Таб нумерация"/>
    <w:link w:val="aa"/>
    <w:qFormat/>
    <w:rsid w:val="006C5028"/>
    <w:pPr>
      <w:numPr>
        <w:numId w:val="9"/>
      </w:numPr>
      <w:spacing w:after="0" w:line="240" w:lineRule="auto"/>
    </w:pPr>
    <w:rPr>
      <w:kern w:val="22"/>
      <w:sz w:val="24"/>
    </w:rPr>
  </w:style>
  <w:style w:type="character" w:customStyle="1" w:styleId="aa">
    <w:name w:val="РА_Таб нумерация Знак"/>
    <w:basedOn w:val="a1"/>
    <w:link w:val="a"/>
    <w:rsid w:val="006C5028"/>
    <w:rPr>
      <w:kern w:val="22"/>
      <w:sz w:val="24"/>
    </w:rPr>
  </w:style>
  <w:style w:type="paragraph" w:customStyle="1" w:styleId="ab">
    <w:name w:val="РА_Таб текст"/>
    <w:qFormat/>
    <w:rsid w:val="006F5E0E"/>
    <w:pPr>
      <w:spacing w:after="0" w:line="240" w:lineRule="auto"/>
      <w:ind w:left="113" w:right="113"/>
      <w:jc w:val="both"/>
    </w:pPr>
    <w:rPr>
      <w:rFonts w:ascii="Times New Roman" w:hAnsi="Times New Roman"/>
      <w:sz w:val="24"/>
    </w:rPr>
  </w:style>
  <w:style w:type="paragraph" w:customStyle="1" w:styleId="ac">
    <w:name w:val="РА_Таб шапка"/>
    <w:link w:val="ad"/>
    <w:qFormat/>
    <w:rsid w:val="006F5E0E"/>
    <w:pPr>
      <w:spacing w:after="0" w:line="240" w:lineRule="auto"/>
    </w:pPr>
    <w:rPr>
      <w:rFonts w:ascii="Times New Roman Полужирный" w:hAnsi="Times New Roman Полужирный"/>
      <w:b/>
      <w:color w:val="FFFFFF" w:themeColor="background1"/>
      <w:sz w:val="28"/>
      <w:szCs w:val="28"/>
    </w:rPr>
  </w:style>
  <w:style w:type="character" w:customStyle="1" w:styleId="ad">
    <w:name w:val="РА_Таб шапка Знак"/>
    <w:basedOn w:val="a1"/>
    <w:link w:val="ac"/>
    <w:rsid w:val="006F5E0E"/>
    <w:rPr>
      <w:rFonts w:ascii="Times New Roman Полужирный" w:hAnsi="Times New Roman Полужирный"/>
      <w:b/>
      <w:color w:val="FFFFFF" w:themeColor="background1"/>
      <w:sz w:val="28"/>
      <w:szCs w:val="28"/>
    </w:rPr>
  </w:style>
  <w:style w:type="paragraph" w:styleId="ae">
    <w:name w:val="footer"/>
    <w:basedOn w:val="a0"/>
    <w:link w:val="af"/>
    <w:uiPriority w:val="99"/>
    <w:unhideWhenUsed/>
    <w:rsid w:val="006F5E0E"/>
    <w:pPr>
      <w:tabs>
        <w:tab w:val="center" w:pos="4677"/>
        <w:tab w:val="right" w:pos="9355"/>
      </w:tabs>
      <w:spacing w:line="240" w:lineRule="auto"/>
    </w:pPr>
    <w:rPr>
      <w:sz w:val="20"/>
    </w:rPr>
  </w:style>
  <w:style w:type="character" w:customStyle="1" w:styleId="af">
    <w:name w:val="Нижний колонтитул Знак"/>
    <w:basedOn w:val="a1"/>
    <w:link w:val="ae"/>
    <w:uiPriority w:val="99"/>
    <w:rsid w:val="006F5E0E"/>
    <w:rPr>
      <w:rFonts w:ascii="Times New Roman" w:hAnsi="Times New Roman"/>
      <w:sz w:val="20"/>
    </w:rPr>
  </w:style>
  <w:style w:type="table" w:customStyle="1" w:styleId="11">
    <w:name w:val="РА_Стиль таблицы 1 строка"/>
    <w:basedOn w:val="a2"/>
    <w:uiPriority w:val="99"/>
    <w:rsid w:val="006F5E0E"/>
    <w:pPr>
      <w:spacing w:after="0" w:line="240" w:lineRule="auto"/>
      <w:ind w:left="113" w:right="113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color w:val="FFFFFF" w:themeColor="background1"/>
        <w:sz w:val="28"/>
      </w:rPr>
      <w:tblPr/>
      <w:trPr>
        <w:tblHeader/>
      </w:trPr>
      <w:tcPr>
        <w:shd w:val="clear" w:color="auto" w:fill="2E74B5"/>
      </w:tcPr>
    </w:tblStylePr>
  </w:style>
  <w:style w:type="paragraph" w:customStyle="1" w:styleId="10">
    <w:name w:val="РА_Заголовок_Уровень 1"/>
    <w:qFormat/>
    <w:rsid w:val="00E00BEC"/>
    <w:pPr>
      <w:pageBreakBefore/>
      <w:numPr>
        <w:numId w:val="6"/>
      </w:numPr>
      <w:spacing w:before="100" w:beforeAutospacing="1" w:after="100" w:afterAutospacing="1" w:line="36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bCs/>
      <w:kern w:val="32"/>
      <w:sz w:val="28"/>
      <w:szCs w:val="32"/>
      <w:lang w:eastAsia="ru-RU"/>
    </w:rPr>
  </w:style>
  <w:style w:type="paragraph" w:customStyle="1" w:styleId="af0">
    <w:name w:val="Стиль РА Текст в таблице + полужирный черный"/>
    <w:basedOn w:val="a0"/>
    <w:autoRedefine/>
    <w:rsid w:val="000A7BCB"/>
    <w:pPr>
      <w:spacing w:line="240" w:lineRule="auto"/>
      <w:ind w:left="113"/>
      <w:jc w:val="both"/>
    </w:pPr>
    <w:rPr>
      <w:b/>
      <w:bCs/>
      <w:color w:val="000000"/>
    </w:rPr>
  </w:style>
  <w:style w:type="paragraph" w:styleId="af1">
    <w:name w:val="caption"/>
    <w:basedOn w:val="a0"/>
    <w:next w:val="a0"/>
    <w:uiPriority w:val="35"/>
    <w:unhideWhenUsed/>
    <w:qFormat/>
    <w:rsid w:val="00A649F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Гура Маргарита Анатольевна</dc:creator>
  <cp:keywords/>
  <dc:description/>
  <cp:lastModifiedBy>Гура Маргарита Анатольевна</cp:lastModifiedBy>
  <cp:revision>1</cp:revision>
  <dcterms:created xsi:type="dcterms:W3CDTF">2024-04-19T10:57:00Z</dcterms:created>
  <dcterms:modified xsi:type="dcterms:W3CDTF">2024-04-19T12:10:00Z</dcterms:modified>
</cp:coreProperties>
</file>